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D1" w:rsidRPr="003C12D1" w:rsidRDefault="003C12D1" w:rsidP="003C12D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3C12D1" w:rsidRPr="003C12D1" w:rsidRDefault="00A806D8" w:rsidP="003C12D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КУЧУКСКИЙ</w:t>
      </w:r>
      <w:r w:rsidR="003C12D1"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</w:t>
      </w:r>
    </w:p>
    <w:p w:rsidR="003C12D1" w:rsidRPr="003C12D1" w:rsidRDefault="003C12D1" w:rsidP="003C12D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ШЕЛАБОЛИХИНСКОГО РАЙОНА АЛТАЙСКОГО КРАЯ</w:t>
      </w:r>
    </w:p>
    <w:p w:rsidR="003C12D1" w:rsidRPr="003C12D1" w:rsidRDefault="003C12D1" w:rsidP="003C12D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C12D1" w:rsidRPr="003C12D1" w:rsidRDefault="003C12D1" w:rsidP="003C12D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 </w:t>
      </w:r>
    </w:p>
    <w:p w:rsidR="003C12D1" w:rsidRPr="003C12D1" w:rsidRDefault="003C12D1" w:rsidP="003C12D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C12D1" w:rsidRPr="003C12D1" w:rsidRDefault="00103A64" w:rsidP="003C12D1">
      <w:pPr>
        <w:spacing w:after="0" w:line="240" w:lineRule="auto"/>
        <w:ind w:left="960" w:hanging="9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«21</w:t>
      </w:r>
      <w:bookmarkStart w:id="0" w:name="_GoBack"/>
      <w:bookmarkEnd w:id="0"/>
      <w:r w:rsidR="003C12D1" w:rsidRPr="003C1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мая  2024                                                                                          </w:t>
      </w:r>
      <w:r w:rsidR="003C1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E32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A806D8">
        <w:rPr>
          <w:rFonts w:ascii="Times New Roman" w:eastAsia="Calibri" w:hAnsi="Times New Roman" w:cs="Times New Roman"/>
          <w:sz w:val="28"/>
          <w:szCs w:val="28"/>
          <w:lang w:eastAsia="ru-RU"/>
        </w:rPr>
        <w:t>№ 8</w:t>
      </w:r>
    </w:p>
    <w:p w:rsidR="003C12D1" w:rsidRPr="003C12D1" w:rsidRDefault="00A806D8" w:rsidP="003C12D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Кучук</w:t>
      </w:r>
      <w:proofErr w:type="spellEnd"/>
    </w:p>
    <w:p w:rsidR="003C12D1" w:rsidRPr="003C12D1" w:rsidRDefault="003C12D1" w:rsidP="003C12D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</w:tblGrid>
      <w:tr w:rsidR="003C12D1" w:rsidRPr="003C12D1" w:rsidTr="006E58DA">
        <w:tc>
          <w:tcPr>
            <w:tcW w:w="5070" w:type="dxa"/>
          </w:tcPr>
          <w:p w:rsidR="003C12D1" w:rsidRPr="003C12D1" w:rsidRDefault="003C12D1" w:rsidP="003C1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2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 дополнительных основаниях признания </w:t>
            </w:r>
            <w:proofErr w:type="gramStart"/>
            <w:r w:rsidRPr="003C12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безнадежными</w:t>
            </w:r>
            <w:proofErr w:type="gramEnd"/>
            <w:r w:rsidRPr="003C12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взысканию  задолженности в части сумм местных налогов </w:t>
            </w:r>
          </w:p>
          <w:p w:rsidR="003C12D1" w:rsidRPr="003C12D1" w:rsidRDefault="003C12D1" w:rsidP="003C12D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12D1" w:rsidRPr="003C12D1" w:rsidRDefault="003C12D1" w:rsidP="003C12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C12D1" w:rsidRPr="003C12D1" w:rsidRDefault="003C12D1" w:rsidP="003C12D1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 пунктом 3 статьи 59 части первой Налогового кодекса Российской Федерации, руководствуясь Законом Алтайского края от 07.12.2017 г. № 99-ЗС «О дополнительных основаниях признания безнадежной к взысканию задолженности в части сумм региональных налогов» (в редакции Законов Алтайского края от 06.06.2018 № 31-ЗС, от 05.03.2020 № 10-ЗС, от 20.12.2023 № 107-ЗС, от 03.04.2024</w:t>
      </w:r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20-ЗС), руководствуясь </w:t>
      </w:r>
      <w:r w:rsidR="002407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частью 12 </w:t>
      </w:r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статьи 2</w:t>
      </w:r>
      <w:r w:rsidR="002407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Устава  муниц</w:t>
      </w:r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ипального образования </w:t>
      </w:r>
      <w:proofErr w:type="spellStart"/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Кучукский</w:t>
      </w:r>
      <w:proofErr w:type="spellEnd"/>
      <w:proofErr w:type="gram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Алтайского края, </w:t>
      </w:r>
      <w:proofErr w:type="spellStart"/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Кучукский</w:t>
      </w:r>
      <w:proofErr w:type="spell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 </w:t>
      </w:r>
    </w:p>
    <w:p w:rsidR="003C12D1" w:rsidRPr="003C12D1" w:rsidRDefault="003C12D1" w:rsidP="003C12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3C12D1" w:rsidRPr="003C12D1" w:rsidRDefault="003C12D1" w:rsidP="003C12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Признаются безнадежными к взысканию и подлежат списанию:</w:t>
      </w:r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обязанности</w:t>
      </w:r>
      <w:proofErr w:type="gram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задолженность в части сумм местных налогов у физических лиц, по которой истек срок предъявления к исполнению исполнительных документов, если </w:t>
      </w:r>
      <w:proofErr w:type="gram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даты образования</w:t>
      </w:r>
      <w:proofErr w:type="gram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задолженности в части сумм местных налогов прошло не менее трех лет, на основании копии исполнительного документа; </w:t>
      </w:r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 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или) </w:t>
      </w:r>
      <w:proofErr w:type="gram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задолженность не реструктуризирована, срок ее уплаты не изменен в </w:t>
      </w:r>
      <w:proofErr w:type="gram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главой 9 Налогового кодекса Российской Федерации, на основании копии нормативного правового акта, которым налог был отменен;</w:t>
      </w:r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263–ФЗ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Алтайскому краю; </w:t>
      </w:r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 задолженность физических лиц по пеням со сроком образования свыше трех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8) задолженность умерших физических лиц в случае, если в течение 1 года </w:t>
      </w:r>
      <w:proofErr w:type="gram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даты открытия</w:t>
      </w:r>
      <w:proofErr w:type="gram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Признать утратившим си</w:t>
      </w:r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лу решение </w:t>
      </w:r>
      <w:proofErr w:type="spellStart"/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Кучукского</w:t>
      </w:r>
      <w:proofErr w:type="spell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29.09.2020 № 77 «О внесении изменений в решение </w:t>
      </w:r>
      <w:proofErr w:type="spellStart"/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Кучукского</w:t>
      </w:r>
      <w:proofErr w:type="spellEnd"/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от 26 декабря 2017 года № 17 «О дополнительных основаниях признания безнадежными к взысканию недоимки, задолженности по пеням и штрафам по местным нало</w:t>
      </w:r>
      <w:r w:rsidR="000A76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ам</w:t>
      </w: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FE32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A76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proofErr w:type="spellStart"/>
      <w:r w:rsidR="000A76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Кучукского</w:t>
      </w:r>
      <w:proofErr w:type="spellEnd"/>
      <w:r w:rsidR="000A76ED"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r w:rsidR="000A76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 26 декабря 2017 года № 17 «О дополнительных</w:t>
      </w:r>
      <w:proofErr w:type="gramEnd"/>
      <w:r w:rsidR="000A76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основаниях признания </w:t>
      </w:r>
      <w:proofErr w:type="gramStart"/>
      <w:r w:rsidR="000A76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безнадежными</w:t>
      </w:r>
      <w:proofErr w:type="gramEnd"/>
      <w:r w:rsidR="000A76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</w:t>
      </w:r>
      <w:r w:rsidR="000A76ED"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C12D1" w:rsidRPr="00A806D8" w:rsidRDefault="003C12D1" w:rsidP="003C12D1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806D8">
        <w:rPr>
          <w:rFonts w:ascii="Times New Roman" w:eastAsia="Calibri" w:hAnsi="Times New Roman" w:cs="Times New Roman"/>
          <w:color w:val="000000"/>
          <w:sz w:val="28"/>
          <w:szCs w:val="28"/>
        </w:rPr>
        <w:t>Контроль</w:t>
      </w:r>
      <w:r w:rsidRPr="00A806D8">
        <w:rPr>
          <w:rFonts w:ascii="Bauhaus 93" w:eastAsia="Calibri" w:hAnsi="Bauhaus 93" w:cs="Calibri"/>
          <w:color w:val="000000"/>
          <w:sz w:val="28"/>
          <w:szCs w:val="28"/>
        </w:rPr>
        <w:t xml:space="preserve"> </w:t>
      </w:r>
      <w:r w:rsidRPr="00A806D8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proofErr w:type="gramEnd"/>
      <w:r w:rsidRPr="00A806D8">
        <w:rPr>
          <w:rFonts w:ascii="Bauhaus 93" w:eastAsia="Calibri" w:hAnsi="Bauhaus 93" w:cs="Calibri"/>
          <w:color w:val="000000"/>
          <w:sz w:val="28"/>
          <w:szCs w:val="28"/>
        </w:rPr>
        <w:t xml:space="preserve"> </w:t>
      </w:r>
      <w:r w:rsidRPr="00A806D8"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исполнением</w:t>
      </w:r>
      <w:r w:rsidRPr="00A806D8">
        <w:rPr>
          <w:rFonts w:ascii="Bauhaus 93" w:eastAsia="Calibri" w:hAnsi="Bauhaus 93" w:cs="Calibri"/>
          <w:color w:val="000000"/>
          <w:sz w:val="28"/>
          <w:szCs w:val="28"/>
        </w:rPr>
        <w:t xml:space="preserve"> </w:t>
      </w:r>
      <w:r w:rsidRPr="00A806D8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</w:t>
      </w:r>
      <w:r w:rsidRPr="00A806D8">
        <w:rPr>
          <w:rFonts w:ascii="Bauhaus 93" w:eastAsia="Calibri" w:hAnsi="Bauhaus 93" w:cs="Calibri"/>
          <w:color w:val="000000"/>
          <w:sz w:val="28"/>
          <w:szCs w:val="28"/>
        </w:rPr>
        <w:t xml:space="preserve"> </w:t>
      </w:r>
      <w:r w:rsidRPr="00A806D8">
        <w:rPr>
          <w:rFonts w:ascii="Times New Roman" w:eastAsia="Calibri" w:hAnsi="Times New Roman" w:cs="Times New Roman"/>
          <w:color w:val="000000"/>
          <w:sz w:val="28"/>
          <w:szCs w:val="28"/>
        </w:rPr>
        <w:t>решения</w:t>
      </w:r>
      <w:r w:rsidRPr="00A806D8">
        <w:rPr>
          <w:rFonts w:ascii="Bauhaus 93" w:eastAsia="Calibri" w:hAnsi="Bauhaus 93" w:cs="Calibri"/>
          <w:color w:val="000000"/>
          <w:sz w:val="28"/>
          <w:szCs w:val="28"/>
        </w:rPr>
        <w:t xml:space="preserve"> </w:t>
      </w:r>
      <w:r w:rsidRPr="00A806D8">
        <w:rPr>
          <w:rFonts w:ascii="Times New Roman" w:eastAsia="Calibri" w:hAnsi="Times New Roman" w:cs="Times New Roman"/>
          <w:color w:val="000000"/>
          <w:sz w:val="28"/>
          <w:szCs w:val="28"/>
        </w:rPr>
        <w:t>возложить</w:t>
      </w:r>
      <w:r w:rsidRPr="00A806D8">
        <w:rPr>
          <w:rFonts w:ascii="Bauhaus 93" w:eastAsia="Calibri" w:hAnsi="Bauhaus 93" w:cs="Calibri"/>
          <w:color w:val="000000"/>
          <w:sz w:val="28"/>
          <w:szCs w:val="28"/>
        </w:rPr>
        <w:t xml:space="preserve"> </w:t>
      </w:r>
      <w:r w:rsidRPr="00A806D8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A806D8">
        <w:rPr>
          <w:rFonts w:ascii="Bauhaus 93" w:eastAsia="Calibri" w:hAnsi="Bauhaus 93" w:cs="Calibri"/>
          <w:color w:val="000000"/>
          <w:sz w:val="28"/>
          <w:szCs w:val="28"/>
        </w:rPr>
        <w:t xml:space="preserve">  </w:t>
      </w:r>
      <w:r w:rsidRPr="00A806D8">
        <w:rPr>
          <w:rFonts w:ascii="Times New Roman" w:eastAsia="Calibri" w:hAnsi="Times New Roman" w:cs="Times New Roman"/>
          <w:sz w:val="28"/>
          <w:szCs w:val="28"/>
        </w:rPr>
        <w:t>постоянную</w:t>
      </w:r>
      <w:r w:rsidRPr="00A806D8">
        <w:rPr>
          <w:rFonts w:ascii="Bauhaus 93" w:eastAsia="Calibri" w:hAnsi="Bauhaus 93" w:cs="Calibri"/>
          <w:sz w:val="28"/>
          <w:szCs w:val="28"/>
        </w:rPr>
        <w:t xml:space="preserve"> </w:t>
      </w:r>
      <w:r w:rsidRPr="00A806D8">
        <w:rPr>
          <w:rFonts w:ascii="Times New Roman" w:eastAsia="Calibri" w:hAnsi="Times New Roman" w:cs="Times New Roman"/>
          <w:sz w:val="28"/>
          <w:szCs w:val="28"/>
        </w:rPr>
        <w:t>комиссию</w:t>
      </w:r>
      <w:r w:rsidRPr="00A806D8">
        <w:rPr>
          <w:rFonts w:ascii="Bauhaus 93" w:eastAsia="Calibri" w:hAnsi="Bauhaus 93" w:cs="Calibri"/>
          <w:sz w:val="28"/>
          <w:szCs w:val="28"/>
        </w:rPr>
        <w:t xml:space="preserve"> </w:t>
      </w:r>
      <w:r w:rsidRPr="00A806D8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A806D8">
        <w:rPr>
          <w:rFonts w:ascii="Bauhaus 93" w:eastAsia="Calibri" w:hAnsi="Bauhaus 93" w:cs="Calibri"/>
          <w:sz w:val="28"/>
          <w:szCs w:val="28"/>
        </w:rPr>
        <w:t xml:space="preserve"> </w:t>
      </w:r>
      <w:r w:rsidRPr="00A806D8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A806D8">
        <w:rPr>
          <w:rFonts w:ascii="Bauhaus 93" w:eastAsia="Calibri" w:hAnsi="Bauhaus 93" w:cs="Calibri"/>
          <w:sz w:val="28"/>
          <w:szCs w:val="28"/>
        </w:rPr>
        <w:t xml:space="preserve"> </w:t>
      </w:r>
      <w:r w:rsidRPr="00A806D8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Pr="00A806D8">
        <w:rPr>
          <w:rFonts w:ascii="Bauhaus 93" w:eastAsia="Calibri" w:hAnsi="Bauhaus 93" w:cs="Calibri"/>
          <w:sz w:val="28"/>
          <w:szCs w:val="28"/>
        </w:rPr>
        <w:t xml:space="preserve"> </w:t>
      </w:r>
      <w:r w:rsidRPr="00A806D8">
        <w:rPr>
          <w:rFonts w:ascii="Times New Roman" w:eastAsia="Calibri" w:hAnsi="Times New Roman" w:cs="Times New Roman"/>
          <w:sz w:val="28"/>
          <w:szCs w:val="28"/>
        </w:rPr>
        <w:t>по</w:t>
      </w:r>
      <w:r w:rsidRPr="00A806D8">
        <w:rPr>
          <w:rFonts w:ascii="Bauhaus 93" w:eastAsia="Calibri" w:hAnsi="Bauhaus 93" w:cs="Calibri"/>
          <w:sz w:val="28"/>
          <w:szCs w:val="28"/>
        </w:rPr>
        <w:t xml:space="preserve"> </w:t>
      </w:r>
      <w:r w:rsidR="00A806D8">
        <w:rPr>
          <w:rFonts w:ascii="Times New Roman" w:eastAsia="Calibri" w:hAnsi="Times New Roman" w:cs="Times New Roman"/>
          <w:sz w:val="28"/>
          <w:szCs w:val="28"/>
        </w:rPr>
        <w:t>социально-экономическому развитию села, бюджету и благоустройству (Бобину Н.Н.)</w:t>
      </w:r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со дня его официального опубликования в районной газете «Знамя Советов» и (или) в Сборнике муниципальных правовых актов муниц</w:t>
      </w:r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ипального образования </w:t>
      </w:r>
      <w:proofErr w:type="spellStart"/>
      <w:r w:rsidR="00A806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Кучукский</w:t>
      </w:r>
      <w:proofErr w:type="spell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Pr="003C12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 </w:t>
      </w:r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C12D1" w:rsidRPr="003C12D1" w:rsidRDefault="003C12D1" w:rsidP="003C12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C12D1" w:rsidRPr="003C12D1" w:rsidRDefault="003C12D1" w:rsidP="00A806D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1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сельсовета                    </w:t>
      </w:r>
      <w:r w:rsidR="00A806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C1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A806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З.Н. </w:t>
      </w:r>
      <w:proofErr w:type="spellStart"/>
      <w:r w:rsidR="00A806D8">
        <w:rPr>
          <w:rFonts w:ascii="Times New Roman" w:eastAsia="Calibri" w:hAnsi="Times New Roman" w:cs="Times New Roman"/>
          <w:sz w:val="28"/>
          <w:szCs w:val="28"/>
          <w:lang w:eastAsia="ru-RU"/>
        </w:rPr>
        <w:t>Солодовникова</w:t>
      </w:r>
      <w:proofErr w:type="spellEnd"/>
      <w:r w:rsidRPr="003C1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806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</w:p>
    <w:p w:rsidR="000E4749" w:rsidRDefault="000E4749"/>
    <w:sectPr w:rsidR="000E4749" w:rsidSect="00BE760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38BA"/>
    <w:multiLevelType w:val="hybridMultilevel"/>
    <w:tmpl w:val="2EB2B3F2"/>
    <w:lvl w:ilvl="0" w:tplc="EAE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D1"/>
    <w:rsid w:val="000A76ED"/>
    <w:rsid w:val="000E4749"/>
    <w:rsid w:val="00103A64"/>
    <w:rsid w:val="00240787"/>
    <w:rsid w:val="003C12D1"/>
    <w:rsid w:val="00A806D8"/>
    <w:rsid w:val="00AB768F"/>
    <w:rsid w:val="00BE7601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2</cp:revision>
  <cp:lastPrinted>2024-05-21T01:06:00Z</cp:lastPrinted>
  <dcterms:created xsi:type="dcterms:W3CDTF">2024-05-21T01:08:00Z</dcterms:created>
  <dcterms:modified xsi:type="dcterms:W3CDTF">2024-05-21T01:08:00Z</dcterms:modified>
</cp:coreProperties>
</file>